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D6" w:rsidRPr="009677D6" w:rsidRDefault="009677D6" w:rsidP="009677D6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9677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Программа конференции</w:t>
      </w:r>
      <w:r w:rsidRPr="009677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br/>
        <w:t>«Социальные процессы на мусульманском Востоке</w:t>
      </w:r>
      <w:bookmarkEnd w:id="0"/>
      <w:r w:rsidRPr="009677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(Афганистан, Иран, Пакистан, Турция, этнический Курдистан, соседние страны и регионы)»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26 и 28 ноября 2018 г.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Институт востоковедения РАН, Москва ул. Рождественка, 12.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Первый день работы, 26 ноября, понедельник.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Регистрация 10.30-11.00. Зал Ученых советов (3-й этаж)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11.00.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Заместитель директора ИВ РАН </w:t>
      </w: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Аликберов А.К.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77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Первое пленарное заседание.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Руководитель - Белокреницкий В.Я.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Доклады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 Регламент- 17 мин.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Белокреницкий В.Я.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Культурная сложность наций-государств в мусульманском ареале. Национальный вопрос в Пакистане.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Мамедова Н.М.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Культурная сложность современного иранского общества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Ульченко Н.Ю.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Турция на пути к инклюзивному развитию? (К вопросу об эффективности социальной политики Партии справедливости и развития).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Вертяев К. В.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Конгломератный национализм:опыт измененияпарадигмы национального развития странБлижневосточного региона (квази-государственные образования: Федерация Северной Сирии и Иракского Курдистана).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Каменев С.Н.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Рост населения Пакистана и его влияние на социальную сферу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Цветкова Н.Н. 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(ИВ РАН) Восточный социум в перспективе: низшие городские слои и автоматизация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Дискуссия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</w:pPr>
      <w:r w:rsidRPr="009677D6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Перерыв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77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Второе пленарное заседание.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Руководитель - Белокреницкий В.Я.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Начало в 13:30.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Зал Ученых советов (3-й этаж)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Доклады. Регламент –15 мин.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Суворова А.А.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(ИВ РАН) Пакистан: возможна ли ревизия законов о богохульстве?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Орешкова С.Ф.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Турция: социальные и этнорелигиозные последствия имперской истории.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Рыжов И.В.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(Нижний Новгород). Противостояние шиитов и суннитов на Ближнем Востоке: история вопроса и анализ современного состояния.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Труевцев К.М.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Глобализация и исламский мир: последствия волн турбулентности и вступление в новую стадию.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Косач Г.Г.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(РГГУ) Социально-экономические реформы в Саудовской Аравии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Юртаев В.И.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(РУДН) Фактор внутриконфессиональности в исламе: международный аспект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Арабаджян З.А.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Влияние революции 1905-1911 гг. на формирование иранской нации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lastRenderedPageBreak/>
        <w:t>Дунаева Е.В.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ИРИ: основные демографические тренды (по итогам Всеобщей переписи населения 2016/17 г)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Окимбеков У.В.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Состав и динамика численности населения Афганистана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Дискуссия 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Второй день конференции, 28 ноября, среда.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Начало в 11:00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77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Секция 1.</w:t>
      </w:r>
      <w:r w:rsidRPr="009677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Зал Ученых советов (3-й этаж).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Руководитель - Н.Ю.Ульченко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Доклады. Регламент –10 мин.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Болдырев А. В.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Изучение внешней политики Турции в годы Второй Мировой войны как перспективное направление в современном отечественном востоковедении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Абидулин А.М.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(Нижний Новгород). Проблема преемственности и национальная идентичность в процессе формирования Турецкой Республики.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Деев А.А.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(Санкт-Петербург) Категория силы в концепции Ахмета Давутоглу «Стратегическая глубина» в проекции на внешнеполитическую стратегию Турецкой Республики.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Иванова И.И.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РАН, МГИМО) Турция – Центральная Азия – Россия: изменения в конфигурации треугольника.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Гаджиев А.Г.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Турция и ЕС после парламентско-президенстких выборов 24 июня 2018 г.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Свистунова И.А.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(ИМЭМО) Немусульманские меньшинства в современной Турции.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Цибенко В.В.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(Ростов-на-Дону) Политизация этнических меньшинств в Турции на примере черкесов.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Бибикова О.П.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Беженцы из Сирии: перспективы возвращения на родину и адаптации к послевоенным условиям.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Саетов И.Г.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Экономика турецких джамаатов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Волкова С.Л.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Основные структурные сдвиги во внешней торговле Турции в период правления Партии справедливости и развития (2002 – 2018 гг.).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Малов М.А.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(Нижний Новгород) Модификация статуса малых этносов в системе международных отношений Ближнего Востока.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Демидюк В.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(Минск, Белоруссия) Курдский вопрос: современное состояние и перспективы решения.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Вородин Д.А.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(Санкт-Петербург) Федерация Северной Сирии: этнополитические процессы в Сирийском Курдистане.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Озманян М.С.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К итогам парламентских выборов в Ираке и иракском Курдистане в 2018 году: курдские партии.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Беренкова Н.А.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(Нижний Новгород) Старые и новые вызовы конфессиональной политической системе Ливана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Корочкина В.А.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(Санкт-Петербург) Арабский сектор Израиля после принятия Основного Закона о еврейском характере государства Израиль.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Второй день конференции, 28 ноября, среда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Начало в 11:00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77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Секция 2.</w:t>
      </w:r>
      <w:r w:rsidRPr="009677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Аудитория 222 (2-й этаж).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Руководитель - С.Н.Каменев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Доклады. Регламент –12 минут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lastRenderedPageBreak/>
        <w:t>Нессар О.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Ситуация в Афганистане перед грядущими выборами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Дауров Р.Д.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РАН), </w:t>
      </w: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Шашков И.В.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(МГУ) Геополитический и геоэкологический анализ китайской инициативы «Экономический пояс Шелкового пути» в субрегионе Афганистан – Пакистан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Замараева Н.А.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Особенности эволюции политических моделей развития в Пакистане (1999 – 2018 гг.)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Елагин Д.П.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(МГИМО) Особенности современной социально-экономической модели Афганистана: влияние внутреннего вооруженного конфликта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Бойко В.С.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(Барнаул) Взлеты и падения политического лидерства в Афганистане в 1919-1978 гг.: от Аманулла-хана к мусахибам и М.Дауду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Мелёхина Н.В.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(МГИМО) Религиозные меньшинства в мусульманском обществе: на примере Пакистана.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Чикризова О.С.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(РУДН) Суннито-шиитские взаимоотношения в Пакистане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Серенко И.Н.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Образовательный аспект радикализации пакистанского общества (история и современность).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Пойя С.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Этнические конфликты в современном Афганистане как инструменты влияния на общество и власть.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Митрофаненкова О.Е.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Проблема наркомании в Афганистане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Прохоров Р.Е.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Исламский фактор в пакистано-китайских отношениях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Саженов Н.Д.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(МГИМО) Потенциал сепаратизма в современном Афганистане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Спектор И.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(МГУ) Эволюция роли делийских мусульман во второй половинеXX– началеXXIвв.: опыт взаимоотношений с индусским большинством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Сазедул Ислам М.Д.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(РУДН) Влияние исламизации в обществе Бангладеш.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Второй день конференции, 28 ноября, среда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Начало в 11:00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77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Секция 3.</w:t>
      </w:r>
      <w:r w:rsidRPr="009677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Аудитория 411 (4-й этаж).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Руководитель - Н.М.Мамедова,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Доклады. Регламент – 15 мин.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Каменева М.С.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Проблемы социо-культурного развития этно-конфессиональных сообществ современного Ирана (на примере армянской и еврейской общин и бахаи.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Мелкумян Е.С.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(РГГУ). Стратегия развития Катара, ОАЭ и Бахрейна: социально-экономический аспект.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Полищук А.И.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«Перспективный план культурной политики ИРИ» как инструмент «мягкой силы»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Сажин В.И.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Азербайджанский вопрос в Иране сегодня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Агазаде М.М.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(РУДН) Вопрос о положении азербайджанских тюрков в Иране в процессе обеспечения региональной безопасности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Бабиров И.М.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(Нижний Новгород). Талышское меньшинство в Азербайджане и Иране: история вопроса и современное состояние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Сулейманов Р.В.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(МГУ). Роль азербайджанского фактора в развитии Ирана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Федорова И.Е.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(ИВ РАН) Иран и Иракский Курдистан</w:t>
      </w:r>
    </w:p>
    <w:p w:rsidR="009677D6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Парамонов Ю.С.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(МГИМО) Афганская диаспора как фактор внутренней и внешней политики современного Ирана</w:t>
      </w:r>
    </w:p>
    <w:p w:rsidR="003245E3" w:rsidRPr="009677D6" w:rsidRDefault="009677D6" w:rsidP="009677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677D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Ханышева А.Р.</w:t>
      </w:r>
      <w:r w:rsidRPr="009677D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(Саратов) Стратегия внешней политики Исламской Республики Иран</w:t>
      </w:r>
    </w:p>
    <w:sectPr w:rsidR="003245E3" w:rsidRPr="009677D6" w:rsidSect="009677D6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D6"/>
    <w:rsid w:val="003245E3"/>
    <w:rsid w:val="0096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7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77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7D6"/>
    <w:rPr>
      <w:b/>
      <w:bCs/>
    </w:rPr>
  </w:style>
  <w:style w:type="character" w:styleId="a5">
    <w:name w:val="Emphasis"/>
    <w:basedOn w:val="a0"/>
    <w:uiPriority w:val="20"/>
    <w:qFormat/>
    <w:rsid w:val="009677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7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77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7D6"/>
    <w:rPr>
      <w:b/>
      <w:bCs/>
    </w:rPr>
  </w:style>
  <w:style w:type="character" w:styleId="a5">
    <w:name w:val="Emphasis"/>
    <w:basedOn w:val="a0"/>
    <w:uiPriority w:val="20"/>
    <w:qFormat/>
    <w:rsid w:val="009677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2018-11-28T19:15:00Z</dcterms:created>
  <dcterms:modified xsi:type="dcterms:W3CDTF">2018-11-28T19:22:00Z</dcterms:modified>
</cp:coreProperties>
</file>